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96" w:rsidRDefault="007F5075">
      <w:pPr>
        <w:spacing w:after="0"/>
        <w:jc w:val="right"/>
      </w:pPr>
      <w:bookmarkStart w:id="0" w:name="_GoBack"/>
      <w:bookmarkEnd w:id="0"/>
      <w:r>
        <w:rPr>
          <w:rFonts w:ascii="Lato Black"/>
          <w:b/>
        </w:rPr>
        <w:t>MSBA Core Manual</w:t>
      </w:r>
    </w:p>
    <w:p w:rsidR="000B0A96" w:rsidRDefault="007F5075">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0B0A96">
        <w:tblPrEx>
          <w:tblCellMar>
            <w:bottom w:w="0" w:type="dxa"/>
          </w:tblCellMar>
        </w:tblPrEx>
        <w:tc>
          <w:tcPr>
            <w:tcW w:w="0" w:type="auto"/>
            <w:shd w:val="clear" w:color="auto" w:fill="EFEFEF"/>
          </w:tcPr>
          <w:p w:rsidR="000B0A96" w:rsidRDefault="007F5075">
            <w:pPr>
              <w:spacing w:after="0"/>
            </w:pPr>
            <w:r>
              <w:rPr>
                <w:rFonts w:ascii="Lato Black"/>
                <w:b/>
              </w:rPr>
              <w:t>Policy BDDB-2: AGENDAS</w:t>
            </w:r>
          </w:p>
        </w:tc>
        <w:tc>
          <w:tcPr>
            <w:tcW w:w="1000" w:type="pct"/>
            <w:shd w:val="clear" w:color="auto" w:fill="EFEFEF"/>
          </w:tcPr>
          <w:p w:rsidR="000B0A96" w:rsidRDefault="007F5075">
            <w:r>
              <w:rPr>
                <w:rFonts w:ascii="Lato Black"/>
                <w:b/>
              </w:rPr>
              <w:t xml:space="preserve">Status: </w:t>
            </w:r>
            <w:r>
              <w:rPr>
                <w:rFonts w:ascii="Lato"/>
              </w:rPr>
              <w:t>ADOPTED</w:t>
            </w:r>
          </w:p>
        </w:tc>
      </w:tr>
      <w:tr w:rsidR="000B0A96">
        <w:tblPrEx>
          <w:tblCellMar>
            <w:bottom w:w="0" w:type="dxa"/>
          </w:tblCellMar>
        </w:tblPrEx>
        <w:tc>
          <w:tcPr>
            <w:tcW w:w="0" w:type="auto"/>
            <w:shd w:val="clear" w:color="auto" w:fill="EFEFEF"/>
          </w:tcPr>
          <w:p w:rsidR="000B0A96" w:rsidRDefault="007F5075">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01/01/2023</w:t>
            </w:r>
            <w:r>
              <w:rPr>
                <w:rFonts w:ascii="Lato Black"/>
                <w:b/>
                <w:sz w:val="18"/>
              </w:rPr>
              <w:t xml:space="preserve"> | Last Reviewed Date: </w:t>
            </w:r>
            <w:r>
              <w:rPr>
                <w:rFonts w:ascii="Lato"/>
                <w:sz w:val="18"/>
              </w:rPr>
              <w:t>01/01/2023</w:t>
            </w:r>
          </w:p>
        </w:tc>
        <w:tc>
          <w:tcPr>
            <w:tcW w:w="0" w:type="auto"/>
            <w:shd w:val="clear" w:color="auto" w:fill="EFEFEF"/>
          </w:tcPr>
          <w:p w:rsidR="000B0A96" w:rsidRDefault="000B0A96">
            <w:pPr>
              <w:spacing w:after="0"/>
            </w:pPr>
          </w:p>
        </w:tc>
      </w:tr>
    </w:tbl>
    <w:p w:rsidR="000B0A96" w:rsidRDefault="000B0A96">
      <w:pPr>
        <w:spacing w:after="30"/>
        <w:jc w:val="right"/>
      </w:pPr>
    </w:p>
    <w:p w:rsidR="00000000" w:rsidRDefault="007F5075">
      <w:pPr>
        <w:pStyle w:val="Heading3"/>
        <w:jc w:val="center"/>
        <w:divId w:val="1255088020"/>
        <w:rPr>
          <w:rFonts w:ascii="Lato" w:eastAsia="Times New Roman" w:hAnsi="Lato"/>
        </w:rPr>
      </w:pPr>
      <w:r>
        <w:rPr>
          <w:rStyle w:val="Emphasis"/>
          <w:rFonts w:ascii="Lato" w:eastAsia="Times New Roman" w:hAnsi="Lato"/>
        </w:rPr>
        <w:t>(Board Uses a Consent Agenda)</w:t>
      </w:r>
    </w:p>
    <w:p w:rsidR="00000000" w:rsidRDefault="007F5075">
      <w:pPr>
        <w:divId w:val="1255088020"/>
        <w:rPr>
          <w:rFonts w:ascii="Lato" w:eastAsia="Times New Roman" w:hAnsi="Lato"/>
        </w:rPr>
      </w:pPr>
      <w:r>
        <w:rPr>
          <w:rFonts w:ascii="Lato" w:eastAsia="Times New Roman" w:hAnsi="Lato"/>
        </w:rPr>
        <w:br/>
        <w:t>The superintendent, in consultation with the board president, shall prepare a tentative agenda for each board </w:t>
      </w:r>
      <w:r>
        <w:rPr>
          <w:rFonts w:ascii="Lato" w:eastAsia="Times New Roman" w:hAnsi="Lato"/>
        </w:rPr>
        <w:t>meeting. The board shall include the agenda for an open meeting in the public notice of the meeting in a manner that complies with law and reasonably informs the public of the matters to be considered. The superintendent or designee will provide the agenda</w:t>
      </w:r>
      <w:r>
        <w:rPr>
          <w:rFonts w:ascii="Lato" w:eastAsia="Times New Roman" w:hAnsi="Lato"/>
        </w:rPr>
        <w:t xml:space="preserve"> to the board with supplemental materials necessary for the meeting.</w:t>
      </w:r>
      <w:r>
        <w:rPr>
          <w:rFonts w:ascii="Lato" w:eastAsia="Times New Roman" w:hAnsi="Lato"/>
        </w:rPr>
        <w:br/>
      </w:r>
      <w:r>
        <w:rPr>
          <w:rFonts w:ascii="Lato" w:eastAsia="Times New Roman" w:hAnsi="Lato"/>
        </w:rPr>
        <w:br/>
        <w:t>Any board member may request that items be placed on the agenda by notifying the board president or the superintendent at least five days prior to the meeting. The agenda items will be i</w:t>
      </w:r>
      <w:r>
        <w:rPr>
          <w:rFonts w:ascii="Lato" w:eastAsia="Times New Roman" w:hAnsi="Lato"/>
        </w:rPr>
        <w:t>ncluded on the tentative agenda unless the board recently discussed the same issue, the board president decides that they should be reserved for a future meeting, or the member agrees otherwise. </w:t>
      </w:r>
      <w:r>
        <w:rPr>
          <w:rFonts w:ascii="Lato" w:eastAsia="Times New Roman" w:hAnsi="Lato"/>
        </w:rPr>
        <w:br/>
      </w:r>
      <w:r>
        <w:rPr>
          <w:rFonts w:ascii="Lato" w:eastAsia="Times New Roman" w:hAnsi="Lato"/>
        </w:rPr>
        <w:br/>
        <w:t xml:space="preserve">A majority of the board members present at the meeting may </w:t>
      </w:r>
      <w:r>
        <w:rPr>
          <w:rFonts w:ascii="Lato" w:eastAsia="Times New Roman" w:hAnsi="Lato"/>
        </w:rPr>
        <w:t>vote to remove or move an agenda item. Items will not be added to the agenda at the meeting except in accordance with law. However, a board member may make a motion to add an item to a future meeting and, if passed, that item will be included on the agenda</w:t>
      </w:r>
      <w:r>
        <w:rPr>
          <w:rFonts w:ascii="Lato" w:eastAsia="Times New Roman" w:hAnsi="Lato"/>
        </w:rPr>
        <w:t xml:space="preserve"> for that meeting.</w:t>
      </w:r>
      <w:r>
        <w:rPr>
          <w:rFonts w:ascii="Lato" w:eastAsia="Times New Roman" w:hAnsi="Lato"/>
        </w:rPr>
        <w:br/>
      </w:r>
      <w:r>
        <w:rPr>
          <w:rFonts w:ascii="Lato" w:eastAsia="Times New Roman" w:hAnsi="Lato"/>
        </w:rPr>
        <w:br/>
        <w:t xml:space="preserve">Residents who wish to be included on the agenda for the purpose of addressing the board shall make a request in accordance with policy BDDH. </w:t>
      </w:r>
    </w:p>
    <w:p w:rsidR="00000000" w:rsidRDefault="007F5075">
      <w:pPr>
        <w:pStyle w:val="Heading3"/>
        <w:divId w:val="1255088020"/>
        <w:rPr>
          <w:rFonts w:ascii="Lato" w:eastAsia="Times New Roman" w:hAnsi="Lato"/>
        </w:rPr>
      </w:pPr>
      <w:r>
        <w:rPr>
          <w:rFonts w:ascii="Lato" w:eastAsia="Times New Roman" w:hAnsi="Lato"/>
        </w:rPr>
        <w:t>Consent Agenda</w:t>
      </w:r>
    </w:p>
    <w:p w:rsidR="00000000" w:rsidRDefault="007F5075">
      <w:pPr>
        <w:divId w:val="1255088020"/>
        <w:rPr>
          <w:rFonts w:ascii="Lato" w:eastAsia="Times New Roman" w:hAnsi="Lato"/>
        </w:rPr>
      </w:pPr>
      <w:r>
        <w:rPr>
          <w:rFonts w:ascii="Lato" w:eastAsia="Times New Roman" w:hAnsi="Lato"/>
        </w:rPr>
        <w:br/>
        <w:t>To use time within the board meetings more efficiently, the board utilizes a c</w:t>
      </w:r>
      <w:r>
        <w:rPr>
          <w:rFonts w:ascii="Lato" w:eastAsia="Times New Roman" w:hAnsi="Lato"/>
        </w:rPr>
        <w:t>onsent agenda whenever appropriate. Consent agenda items are routine in nature or are among the many decisions that the board has already determined are in the domain of the administration.</w:t>
      </w:r>
      <w:r>
        <w:rPr>
          <w:rFonts w:ascii="Lato" w:eastAsia="Times New Roman" w:hAnsi="Lato"/>
        </w:rPr>
        <w:br/>
      </w:r>
      <w:r>
        <w:rPr>
          <w:rFonts w:ascii="Lato" w:eastAsia="Times New Roman" w:hAnsi="Lato"/>
        </w:rPr>
        <w:br/>
        <w:t>When the consent agenda is presented to the board for action, the</w:t>
      </w:r>
      <w:r>
        <w:rPr>
          <w:rFonts w:ascii="Lato" w:eastAsia="Times New Roman" w:hAnsi="Lato"/>
        </w:rPr>
        <w:t xml:space="preserve"> board president will provide the opportunity for any board member to request a discussion or removal of any item on the agenda. Agenda items requested for removal from the consent agenda will be placed on the regular agenda. If a board member requests tha</w:t>
      </w:r>
      <w:r>
        <w:rPr>
          <w:rFonts w:ascii="Lato" w:eastAsia="Times New Roman" w:hAnsi="Lato"/>
        </w:rPr>
        <w:t xml:space="preserve">t a consent agenda item be entirely removed from the agenda, a majority of the members present must approve the request. The </w:t>
      </w:r>
      <w:proofErr w:type="gramStart"/>
      <w:r>
        <w:rPr>
          <w:rFonts w:ascii="Lato" w:eastAsia="Times New Roman" w:hAnsi="Lato"/>
        </w:rPr>
        <w:t>board will then vote</w:t>
      </w:r>
      <w:proofErr w:type="gramEnd"/>
      <w:r>
        <w:rPr>
          <w:rFonts w:ascii="Lato" w:eastAsia="Times New Roman" w:hAnsi="Lato"/>
        </w:rPr>
        <w:t xml:space="preserve"> on and pass or deny the remaining items on the consent agenda by a single motion. The minutes of the board mee</w:t>
      </w:r>
      <w:r>
        <w:rPr>
          <w:rFonts w:ascii="Lato" w:eastAsia="Times New Roman" w:hAnsi="Lato"/>
        </w:rPr>
        <w:t xml:space="preserve">ting shall include the outcome of the vote and a list of all the items that appeared on the consent agenda. </w:t>
      </w:r>
    </w:p>
    <w:p w:rsidR="00000000" w:rsidRDefault="007F5075">
      <w:pPr>
        <w:pStyle w:val="Heading3"/>
        <w:divId w:val="1255088020"/>
        <w:rPr>
          <w:rFonts w:ascii="Lato" w:eastAsia="Times New Roman" w:hAnsi="Lato"/>
        </w:rPr>
      </w:pPr>
      <w:r>
        <w:rPr>
          <w:rFonts w:ascii="Lato" w:eastAsia="Times New Roman" w:hAnsi="Lato"/>
        </w:rPr>
        <w:t>Presentations about Organ Donation</w:t>
      </w:r>
    </w:p>
    <w:p w:rsidR="00000000" w:rsidRDefault="007F5075">
      <w:pPr>
        <w:divId w:val="1255088020"/>
        <w:rPr>
          <w:rFonts w:ascii="Lato" w:eastAsia="Times New Roman" w:hAnsi="Lato"/>
        </w:rPr>
      </w:pPr>
      <w:r>
        <w:rPr>
          <w:rFonts w:ascii="Lato" w:eastAsia="Times New Roman" w:hAnsi="Lato"/>
        </w:rPr>
        <w:br/>
        <w:t xml:space="preserve">In accordance with law, if a state or nationally recognized program or organization that provides unbiased </w:t>
      </w:r>
      <w:r>
        <w:rPr>
          <w:rFonts w:ascii="Lato" w:eastAsia="Times New Roman" w:hAnsi="Lato"/>
        </w:rPr>
        <w:lastRenderedPageBreak/>
        <w:t>info</w:t>
      </w:r>
      <w:r>
        <w:rPr>
          <w:rFonts w:ascii="Lato" w:eastAsia="Times New Roman" w:hAnsi="Lato"/>
        </w:rPr>
        <w:t>rmation on organ, eye and tissue donation requests to be on the agenda for the purpose of presenting information about such donations, the board will grant the request and schedule at least 30 minutes for the presentation.</w:t>
      </w:r>
      <w:r>
        <w:rPr>
          <w:rFonts w:ascii="Lato" w:eastAsia="Times New Roman" w:hAnsi="Lato"/>
        </w:rPr>
        <w:br/>
      </w:r>
      <w:r>
        <w:rPr>
          <w:rFonts w:ascii="Lato" w:eastAsia="Times New Roman" w:hAnsi="Lato"/>
        </w:rPr>
        <w:br/>
        <w:t>After the presentation, the boar</w:t>
      </w:r>
      <w:r>
        <w:rPr>
          <w:rFonts w:ascii="Lato" w:eastAsia="Times New Roman" w:hAnsi="Lato"/>
        </w:rPr>
        <w:t>d will consider the information and decide whether to present such information to students and parents/guardians and the manner in which the information shall be presented.</w:t>
      </w:r>
      <w:r>
        <w:rPr>
          <w:rFonts w:ascii="Lato" w:eastAsia="Times New Roman" w:hAnsi="Lato"/>
        </w:rPr>
        <w:br/>
        <w:t xml:space="preserve">  </w:t>
      </w:r>
    </w:p>
    <w:p w:rsidR="000B0A96" w:rsidRDefault="007F5075">
      <w:pPr>
        <w:spacing w:after="0"/>
      </w:pPr>
      <w:proofErr w:type="gramStart"/>
      <w:r>
        <w:rPr>
          <w:rFonts w:ascii="Lato"/>
        </w:rPr>
        <w:t>©</w:t>
      </w:r>
      <w:r>
        <w:rPr>
          <w:rFonts w:ascii="Lato"/>
        </w:rPr>
        <w:t xml:space="preserve"> 2023, Missouri School Boards' Association.</w:t>
      </w:r>
      <w:proofErr w:type="gramEnd"/>
    </w:p>
    <w:p w:rsidR="000B0A96" w:rsidRDefault="007F5075">
      <w:pPr>
        <w:spacing w:after="0"/>
      </w:pPr>
      <w:r>
        <w:rPr>
          <w:rFonts w:ascii="Lato"/>
        </w:rPr>
        <w:t xml:space="preserve">Version: </w:t>
      </w:r>
      <w:r>
        <w:rPr>
          <w:rFonts w:ascii="Lato"/>
        </w:rPr>
        <w:t>[BDDB-2C.2C (1/23)]</w:t>
      </w:r>
    </w:p>
    <w:p w:rsidR="000B0A96" w:rsidRDefault="000B0A96">
      <w:pPr>
        <w:pBdr>
          <w:bottom w:val="single" w:sz="5" w:space="1" w:color="auto"/>
        </w:pBdr>
      </w:pPr>
    </w:p>
    <w:p w:rsidR="00000000" w:rsidRDefault="007F5075">
      <w:pPr>
        <w:divId w:val="1981762560"/>
        <w:rPr>
          <w:rFonts w:ascii="Lato" w:eastAsia="Times New Roman" w:hAnsi="Lato"/>
        </w:rPr>
      </w:pPr>
      <w:r>
        <w:rPr>
          <w:rFonts w:ascii="Lato" w:eastAsia="Times New Roman" w:hAnsi="Lato"/>
        </w:rPr>
        <w:t> </w:t>
      </w:r>
    </w:p>
    <w:p w:rsidR="00000000" w:rsidRDefault="007F5075">
      <w:pPr>
        <w:pStyle w:val="Heading2"/>
        <w:shd w:val="clear" w:color="auto" w:fill="FFFFFF"/>
        <w:spacing w:before="0" w:beforeAutospacing="0" w:after="0" w:afterAutospacing="0"/>
        <w:textAlignment w:val="baseline"/>
        <w:divId w:val="1596284995"/>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7F5075">
      <w:pPr>
        <w:divId w:val="1596284995"/>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0B0A96">
        <w:tblPrEx>
          <w:tblCellMar>
            <w:top w:w="0" w:type="dxa"/>
            <w:bottom w:w="0" w:type="dxa"/>
          </w:tblCellMar>
        </w:tblPrEx>
        <w:tc>
          <w:tcPr>
            <w:tcW w:w="4017" w:type="dxa"/>
          </w:tcPr>
          <w:p w:rsidR="000B0A96" w:rsidRDefault="007F5075">
            <w:pPr>
              <w:spacing w:after="0"/>
            </w:pPr>
            <w:r>
              <w:rPr>
                <w:rFonts w:ascii="Lato Black"/>
                <w:b/>
              </w:rPr>
              <w:t>State</w:t>
            </w:r>
          </w:p>
        </w:tc>
        <w:tc>
          <w:tcPr>
            <w:tcW w:w="5961" w:type="dxa"/>
          </w:tcPr>
          <w:p w:rsidR="000B0A96" w:rsidRDefault="007F5075">
            <w:pPr>
              <w:spacing w:after="0"/>
            </w:pPr>
            <w:r>
              <w:rPr>
                <w:rFonts w:ascii="Lato Black"/>
                <w:b/>
              </w:rPr>
              <w:t>Description</w:t>
            </w:r>
          </w:p>
        </w:tc>
      </w:tr>
      <w:tr w:rsidR="000B0A96">
        <w:tblPrEx>
          <w:tblCellMar>
            <w:top w:w="0" w:type="dxa"/>
            <w:bottom w:w="0" w:type="dxa"/>
          </w:tblCellMar>
        </w:tblPrEx>
        <w:tc>
          <w:tcPr>
            <w:tcW w:w="4017" w:type="dxa"/>
          </w:tcPr>
          <w:p w:rsidR="000B0A96" w:rsidRDefault="007F5075">
            <w:pPr>
              <w:spacing w:after="0"/>
            </w:pPr>
            <w:r>
              <w:rPr>
                <w:rFonts w:ascii="Lato"/>
              </w:rPr>
              <w:t>§§</w:t>
            </w:r>
            <w:r>
              <w:rPr>
                <w:rFonts w:ascii="Lato"/>
              </w:rPr>
              <w:t xml:space="preserve"> 170.311, 610.010-.035, </w:t>
            </w:r>
            <w:proofErr w:type="spellStart"/>
            <w:r>
              <w:rPr>
                <w:rFonts w:ascii="Lato"/>
              </w:rPr>
              <w:t>RSMo</w:t>
            </w:r>
            <w:proofErr w:type="spellEnd"/>
            <w:r>
              <w:rPr>
                <w:rFonts w:ascii="Lato"/>
              </w:rPr>
              <w:t>.</w:t>
            </w:r>
          </w:p>
        </w:tc>
        <w:tc>
          <w:tcPr>
            <w:tcW w:w="5961" w:type="dxa"/>
          </w:tcPr>
          <w:p w:rsidR="000B0A96" w:rsidRDefault="007F5075">
            <w:hyperlink r:id="rId5" w:docLocation="https://revisor.mo.gov/main/Home.aspx">
              <w:r>
                <w:rPr>
                  <w:rFonts w:ascii="Lato"/>
                  <w:color w:val="0000FF" w:themeColor="hyperlink"/>
                  <w:u w:val="single"/>
                </w:rPr>
                <w:t>State Statute</w:t>
              </w:r>
            </w:hyperlink>
          </w:p>
        </w:tc>
      </w:tr>
      <w:tr w:rsidR="000B0A96">
        <w:tblPrEx>
          <w:tblCellMar>
            <w:top w:w="0" w:type="dxa"/>
            <w:bottom w:w="0" w:type="dxa"/>
          </w:tblCellMar>
        </w:tblPrEx>
        <w:tc>
          <w:tcPr>
            <w:tcW w:w="4017" w:type="dxa"/>
          </w:tcPr>
          <w:p w:rsidR="000B0A96" w:rsidRDefault="007F5075">
            <w:pPr>
              <w:spacing w:after="0"/>
            </w:pPr>
            <w:r>
              <w:rPr>
                <w:rFonts w:ascii="Lato Black"/>
                <w:b/>
              </w:rPr>
              <w:t>MSIP</w:t>
            </w:r>
          </w:p>
        </w:tc>
        <w:tc>
          <w:tcPr>
            <w:tcW w:w="5961" w:type="dxa"/>
          </w:tcPr>
          <w:p w:rsidR="000B0A96" w:rsidRDefault="007F5075">
            <w:pPr>
              <w:spacing w:after="0"/>
            </w:pPr>
            <w:r>
              <w:rPr>
                <w:rFonts w:ascii="Lato Black"/>
                <w:b/>
              </w:rPr>
              <w:t>Description</w:t>
            </w:r>
          </w:p>
        </w:tc>
      </w:tr>
      <w:tr w:rsidR="000B0A96">
        <w:tblPrEx>
          <w:tblCellMar>
            <w:top w:w="0" w:type="dxa"/>
            <w:bottom w:w="0" w:type="dxa"/>
          </w:tblCellMar>
        </w:tblPrEx>
        <w:tc>
          <w:tcPr>
            <w:tcW w:w="4017" w:type="dxa"/>
          </w:tcPr>
          <w:p w:rsidR="000B0A96" w:rsidRDefault="007F5075">
            <w:pPr>
              <w:spacing w:after="0"/>
            </w:pPr>
            <w:r>
              <w:rPr>
                <w:rFonts w:ascii="Lato"/>
              </w:rPr>
              <w:t>L-2</w:t>
            </w:r>
          </w:p>
        </w:tc>
        <w:tc>
          <w:tcPr>
            <w:tcW w:w="5961" w:type="dxa"/>
          </w:tcPr>
          <w:p w:rsidR="000B0A96" w:rsidRDefault="007F5075">
            <w:hyperlink r:id="rId6" w:docLocation="https://dese.mo.gov/media/pdf/msip-6-comprehensive-guide">
              <w:r>
                <w:rPr>
                  <w:rFonts w:ascii="Lato"/>
                  <w:color w:val="0000FF" w:themeColor="hyperlink"/>
                  <w:u w:val="single"/>
                </w:rPr>
                <w:t>MSIP STANDARDS</w:t>
              </w:r>
            </w:hyperlink>
          </w:p>
        </w:tc>
      </w:tr>
    </w:tbl>
    <w:p w:rsidR="00000000" w:rsidRDefault="007F5075">
      <w:pPr>
        <w:shd w:val="clear" w:color="auto" w:fill="F9F9F9"/>
        <w:spacing w:line="480" w:lineRule="auto"/>
        <w:divId w:val="529026583"/>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0B0A96">
        <w:tblPrEx>
          <w:tblCellMar>
            <w:top w:w="0" w:type="dxa"/>
            <w:bottom w:w="0" w:type="dxa"/>
          </w:tblCellMar>
        </w:tblPrEx>
        <w:tc>
          <w:tcPr>
            <w:tcW w:w="4017" w:type="dxa"/>
          </w:tcPr>
          <w:p w:rsidR="000B0A96" w:rsidRDefault="007F5075">
            <w:pPr>
              <w:spacing w:after="0"/>
            </w:pPr>
            <w:r>
              <w:rPr>
                <w:rFonts w:ascii="Lato Black"/>
                <w:b/>
              </w:rPr>
              <w:t>Code</w:t>
            </w:r>
          </w:p>
        </w:tc>
        <w:tc>
          <w:tcPr>
            <w:tcW w:w="5961" w:type="dxa"/>
          </w:tcPr>
          <w:p w:rsidR="000B0A96" w:rsidRDefault="007F5075">
            <w:pPr>
              <w:spacing w:after="0"/>
            </w:pPr>
            <w:r>
              <w:rPr>
                <w:rFonts w:ascii="Lato Black"/>
                <w:b/>
              </w:rPr>
              <w:t>Description</w:t>
            </w:r>
          </w:p>
        </w:tc>
      </w:tr>
      <w:tr w:rsidR="000B0A96">
        <w:tblPrEx>
          <w:tblCellMar>
            <w:top w:w="0" w:type="dxa"/>
            <w:bottom w:w="0" w:type="dxa"/>
          </w:tblCellMar>
        </w:tblPrEx>
        <w:tc>
          <w:tcPr>
            <w:tcW w:w="4017" w:type="dxa"/>
          </w:tcPr>
          <w:p w:rsidR="000B0A96" w:rsidRDefault="007F5075">
            <w:pPr>
              <w:spacing w:after="0"/>
            </w:pPr>
            <w:r>
              <w:rPr>
                <w:rFonts w:ascii="Lato"/>
              </w:rPr>
              <w:t>IC</w:t>
            </w:r>
          </w:p>
        </w:tc>
        <w:tc>
          <w:tcPr>
            <w:tcW w:w="5961" w:type="dxa"/>
          </w:tcPr>
          <w:p w:rsidR="000B0A96" w:rsidRDefault="007F5075">
            <w:hyperlink r:id="rId7" w:docLocation="https://simbli.eboardsolutions.com/Policy/ViewPolicy.aspx?S=36031111&amp;revid=LEW26D4BPQncZaQk3GCWeg==">
              <w:r>
                <w:rPr>
                  <w:rFonts w:ascii="Lato"/>
                  <w:color w:val="0000FF" w:themeColor="hyperlink"/>
                  <w:u w:val="single"/>
                </w:rPr>
                <w:t>ACADEMIC CALENDAR</w:t>
              </w:r>
            </w:hyperlink>
          </w:p>
        </w:tc>
      </w:tr>
    </w:tbl>
    <w:p w:rsidR="007F5075" w:rsidRDefault="007F5075"/>
    <w:sectPr w:rsidR="007F5075">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96"/>
    <w:rsid w:val="000B0A96"/>
    <w:rsid w:val="007D4EE6"/>
    <w:rsid w:val="007F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8020">
      <w:bodyDiv w:val="1"/>
      <w:marLeft w:val="0"/>
      <w:marRight w:val="0"/>
      <w:marTop w:val="0"/>
      <w:marBottom w:val="0"/>
      <w:divBdr>
        <w:top w:val="none" w:sz="0" w:space="0" w:color="auto"/>
        <w:left w:val="none" w:sz="0" w:space="0" w:color="auto"/>
        <w:bottom w:val="none" w:sz="0" w:space="0" w:color="auto"/>
        <w:right w:val="none" w:sz="0" w:space="0" w:color="auto"/>
      </w:divBdr>
    </w:div>
    <w:div w:id="1567257544">
      <w:bodyDiv w:val="1"/>
      <w:marLeft w:val="0"/>
      <w:marRight w:val="0"/>
      <w:marTop w:val="0"/>
      <w:marBottom w:val="0"/>
      <w:divBdr>
        <w:top w:val="none" w:sz="0" w:space="0" w:color="auto"/>
        <w:left w:val="none" w:sz="0" w:space="0" w:color="auto"/>
        <w:bottom w:val="none" w:sz="0" w:space="0" w:color="auto"/>
        <w:right w:val="none" w:sz="0" w:space="0" w:color="auto"/>
      </w:divBdr>
      <w:divsChild>
        <w:div w:id="529026583">
          <w:marLeft w:val="0"/>
          <w:marRight w:val="0"/>
          <w:marTop w:val="150"/>
          <w:marBottom w:val="0"/>
          <w:divBdr>
            <w:top w:val="none" w:sz="0" w:space="0" w:color="auto"/>
            <w:left w:val="none" w:sz="0" w:space="0" w:color="auto"/>
            <w:bottom w:val="none" w:sz="0" w:space="0" w:color="auto"/>
            <w:right w:val="none" w:sz="0" w:space="0" w:color="auto"/>
          </w:divBdr>
        </w:div>
      </w:divsChild>
    </w:div>
    <w:div w:id="1596284995">
      <w:bodyDiv w:val="1"/>
      <w:marLeft w:val="0"/>
      <w:marRight w:val="0"/>
      <w:marTop w:val="0"/>
      <w:marBottom w:val="0"/>
      <w:divBdr>
        <w:top w:val="none" w:sz="0" w:space="0" w:color="auto"/>
        <w:left w:val="none" w:sz="0" w:space="0" w:color="auto"/>
        <w:bottom w:val="none" w:sz="0" w:space="0" w:color="auto"/>
        <w:right w:val="none" w:sz="0" w:space="0" w:color="auto"/>
      </w:divBdr>
      <w:divsChild>
        <w:div w:id="56251907">
          <w:marLeft w:val="0"/>
          <w:marRight w:val="0"/>
          <w:marTop w:val="0"/>
          <w:marBottom w:val="0"/>
          <w:divBdr>
            <w:top w:val="none" w:sz="0" w:space="0" w:color="auto"/>
            <w:left w:val="none" w:sz="0" w:space="0" w:color="auto"/>
            <w:bottom w:val="none" w:sz="0" w:space="0" w:color="auto"/>
            <w:right w:val="none" w:sz="0" w:space="0" w:color="auto"/>
          </w:divBdr>
          <w:divsChild>
            <w:div w:id="1075011023">
              <w:marLeft w:val="0"/>
              <w:marRight w:val="0"/>
              <w:marTop w:val="0"/>
              <w:marBottom w:val="0"/>
              <w:divBdr>
                <w:top w:val="none" w:sz="0" w:space="0" w:color="auto"/>
                <w:left w:val="none" w:sz="0" w:space="0" w:color="auto"/>
                <w:bottom w:val="none" w:sz="0" w:space="0" w:color="auto"/>
                <w:right w:val="none" w:sz="0" w:space="0" w:color="auto"/>
              </w:divBdr>
              <w:divsChild>
                <w:div w:id="19817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mbli.eboardsolutions.com/Policy/ViewPolicy.aspx?S=36031111&amp;revid=LEW26D4BPQncZaQk3GCW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se.mo.gov/media/pdf/msip-6-comprehensive-guide" TargetMode="External"/><Relationship Id="rId5" Type="http://schemas.openxmlformats.org/officeDocument/2006/relationships/hyperlink" Target="https://revisor.mo.gov/main/Hom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2023-03-07T16:50:00Z</dcterms:created>
  <dcterms:modified xsi:type="dcterms:W3CDTF">2023-03-07T16:50:00Z</dcterms:modified>
</cp:coreProperties>
</file>